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2hioqz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TITLE VII.  LEGAL PERSONS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hmsyy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1. NONPROFIT CORPORATIONS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ABA,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Model Nonprofit Corporation Act (2008)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1mghm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2. CORPORATIONS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ABA,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Model Business Corporation Act (2016)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grqrue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3. BUSINESS ORGANIZATIONS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Uniform Business Organizations Code (UBOC),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1: The Hub (2013)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vx122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4. CONVERSIONS AND MERGERS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2: Model Entity Transaction Act (2013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fwokq0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5. PARTNERSHIPS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3: Uniform Partnership Act (2013)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v1yuxt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6. LIMITED PARTNERSHIPS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4: Uniform Limited Partnership Act (2013)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f1mdlm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7. LIMITED LIABILITY COMPANIES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5: Uniform Limited Liability Company Act (2013)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u6wntf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8. COOPERATIVE ASSOCIATIONS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6: Uniform Limited Cooperative Association Act (2013)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9c6y18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9. UNINCORPORATED NONPROFITS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7: Uniform Unincorporated Nonprofit Association Act (2011)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tbugp1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10. BUSINESS TRUSTS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ULC, UBOC,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Article 8: Uniform Statutory Trust Entity Act (2013)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2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2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.archive.org/web/20160501/http://www.uniformlaws.org/Act.aspx?title=Limited%20Partnership%20Act%20(2001)%20(Last%20Amended%202013)" TargetMode="External"/><Relationship Id="rId10" Type="http://schemas.openxmlformats.org/officeDocument/2006/relationships/hyperlink" Target="https://web.archive.org/web/20160501/http://www.uniformlaws.org/Act.aspx?title=Partnership%20Act%20(1997)%20(Last%20Amended%202013)" TargetMode="External"/><Relationship Id="rId13" Type="http://schemas.openxmlformats.org/officeDocument/2006/relationships/hyperlink" Target="https://web.archive.org/web/20160501/http://www.uniformlaws.org/Act.aspx?title=Limited%20Cooperative%20Association%20Act%20(2007)%20(Last%20Amended%202013)" TargetMode="External"/><Relationship Id="rId12" Type="http://schemas.openxmlformats.org/officeDocument/2006/relationships/hyperlink" Target="https://web.archive.org/web/20160501/http://www.uniformlaws.org/Act.aspx?title=Limited%20Liability%20Company%20(2006)%20(Last%20Amended%202013)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160502/http://www.uniformlaws.org/Act.aspx?title=Entity%20Transactions%20Act,%20Model%20(2007)%20(Last%20Amended%202013)" TargetMode="External"/><Relationship Id="rId15" Type="http://schemas.openxmlformats.org/officeDocument/2006/relationships/hyperlink" Target="https://web.archive.org/web/20160501/http://www.uniformlaws.org/Act.aspx?title=Statutory%20Trust%20Entity%20Act" TargetMode="External"/><Relationship Id="rId14" Type="http://schemas.openxmlformats.org/officeDocument/2006/relationships/hyperlink" Target="https://web.archive.org/web/20160501/http://www.uniformlaws.org/Act.aspx?title=Unincorporated%20Nonprofit%20Association%20Act%20(2008)%20(Last%20Amended%202011)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eb.archive.org/web/20160501/http://www.americanbar.org/content/dam/aba/events/real_property_trust_estate/joint_fall/2008/black_letter.authcheckdam.pdf" TargetMode="External"/><Relationship Id="rId7" Type="http://schemas.openxmlformats.org/officeDocument/2006/relationships/hyperlink" Target="http://web.archive.org/web/20181014044640/https://www.americanbar.org/content/dam/aba/administrative/business_law/corplaws/2016_mbca.pdf" TargetMode="External"/><Relationship Id="rId8" Type="http://schemas.openxmlformats.org/officeDocument/2006/relationships/hyperlink" Target="https://web.archive.org/web/20160501/http://www.uniformlaws.org/Act.aspx?title=Article%201%20of%20the%20Uniform%20Business%20Organizations%20Code%20(UBOC%20Hub)%20(2011)%20(Last%20Amended%202013)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