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hd w:fill="ffffff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17dp8vu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TITLE IV. PROPERTY LAW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ind w:left="144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3rdcrjn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CHAPTER 1. GENERAL PROVISIONS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ind w:left="21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ALI,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Restatement of Property (1936-40)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26in1rg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CHAPTER 2. LEASES</w:t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ALI,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rtl w:val="0"/>
          </w:rPr>
          <w:t xml:space="preserve">Restatement of Property, Second, Landlord and Tenant (1977)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ind w:left="2160" w:firstLine="0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lnxbz9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CHAPTER 3. MORTGAGES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ind w:left="21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ALI,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rtl w:val="0"/>
          </w:rPr>
          <w:t xml:space="preserve">Restatement of Property, Third, Mortgages (1997)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35nkun2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CHAPTER 4. SERVITUDES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ALI,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rtl w:val="0"/>
          </w:rPr>
          <w:t xml:space="preserve">Restatement of Property, Third, Servitudes (2000)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1ksv4uv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CHAPTER 5. GIFTS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ALI,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rtl w:val="0"/>
          </w:rPr>
          <w:t xml:space="preserve">Restatement of Property, Third, Wills and Other Donative Transfers (1999-2003)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ind w:left="2160" w:firstLine="0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44sinio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CHAPTER 6. PRIORITY OF TITLE TO PROPERTY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ind w:left="21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Any conveyance of an interest in property that has not been recorded in the relevant public registry, if any, shall be void as against any subsequent transfer of a conflicting interest for value paid in good faith, recorded earlier.</w:t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ind w:left="2160" w:firstLine="0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2jxsxqh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CHAPTER 7. CONTRACT LAW</w:t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ind w:left="144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ALI,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rtl w:val="0"/>
          </w:rPr>
          <w:t xml:space="preserve">Restatement of Contracts, Second (1981)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-1072758</wp:posOffset>
          </wp:positionH>
          <wp:positionV relativeFrom="paragraph">
            <wp:posOffset>-474442</wp:posOffset>
          </wp:positionV>
          <wp:extent cx="2092569" cy="1104265"/>
          <wp:effectExtent b="0" l="0" r="0" t="0"/>
          <wp:wrapNone/>
          <wp:docPr descr="Graphical user interface, text, application&#10;&#10;Description automatically generated" id="1" name="image1.png"/>
          <a:graphic>
            <a:graphicData uri="http://schemas.openxmlformats.org/drawingml/2006/picture">
              <pic:pic>
                <pic:nvPicPr>
                  <pic:cNvPr descr="Graphical user interface, text, application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73134" t="0"/>
                  <a:stretch>
                    <a:fillRect/>
                  </a:stretch>
                </pic:blipFill>
                <pic:spPr>
                  <a:xfrm>
                    <a:off x="0" y="0"/>
                    <a:ext cx="2092569" cy="11042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4351655</wp:posOffset>
          </wp:positionH>
          <wp:positionV relativeFrom="paragraph">
            <wp:posOffset>-489144</wp:posOffset>
          </wp:positionV>
          <wp:extent cx="2337673" cy="1104265"/>
          <wp:effectExtent b="0" l="0" r="0" t="0"/>
          <wp:wrapNone/>
          <wp:docPr descr="Graphical user interface, text, application&#10;&#10;Description automatically generated" id="2" name="image1.png"/>
          <a:graphic>
            <a:graphicData uri="http://schemas.openxmlformats.org/drawingml/2006/picture">
              <pic:pic>
                <pic:nvPicPr>
                  <pic:cNvPr descr="Graphical user interface, text, application&#10;&#10;Description automatically generated" id="0" name="image1.png"/>
                  <pic:cNvPicPr preferRelativeResize="0"/>
                </pic:nvPicPr>
                <pic:blipFill>
                  <a:blip r:embed="rId1"/>
                  <a:srcRect b="0" l="69987" r="0" t="0"/>
                  <a:stretch>
                    <a:fillRect/>
                  </a:stretch>
                </pic:blipFill>
                <pic:spPr>
                  <a:xfrm>
                    <a:off x="0" y="0"/>
                    <a:ext cx="2337673" cy="110426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-449579</wp:posOffset>
          </wp:positionV>
          <wp:extent cx="7762875" cy="1100575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2875" cy="11005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eb.archive.org/web/20160430/https://www.ali.org/publications/show/contracts/" TargetMode="External"/><Relationship Id="rId10" Type="http://schemas.openxmlformats.org/officeDocument/2006/relationships/hyperlink" Target="https://web.archive.org/web/20160430/https://www.ali.org/publications/show/property-wills-and-other-donative-transfers/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eb.archive.org/web/20160430/https://www.ali.org/publications/show/property-servitudes/" TargetMode="External"/><Relationship Id="rId5" Type="http://schemas.openxmlformats.org/officeDocument/2006/relationships/styles" Target="styles.xml"/><Relationship Id="rId6" Type="http://schemas.openxmlformats.org/officeDocument/2006/relationships/hyperlink" Target="https://web.archive.org/web/20210624110754/https://www.ali.org/publications/show/torts/" TargetMode="External"/><Relationship Id="rId7" Type="http://schemas.openxmlformats.org/officeDocument/2006/relationships/hyperlink" Target="https://web.archive.org/web/20160430/https://www.ali.org/publications/show/property-landlord-and-tenant/" TargetMode="External"/><Relationship Id="rId8" Type="http://schemas.openxmlformats.org/officeDocument/2006/relationships/hyperlink" Target="https://web.archive.org/web/20160430/https://www.ali.org/publications/show/property-mortgages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